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-1680" w:leftChars="-800" w:firstLine="1687" w:firstLineChars="400"/>
        <w:jc w:val="center"/>
        <w:rPr>
          <w:sz w:val="42"/>
          <w:szCs w:val="42"/>
        </w:rPr>
      </w:pPr>
      <w:r>
        <w:rPr>
          <w:sz w:val="42"/>
          <w:szCs w:val="42"/>
        </w:rPr>
        <w:t>化学品安全技术说明书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第1部分 化学品及企业标识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211" w:firstLineChars="100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化学品中文名：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甲苯胺蓝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CAS：</w:t>
      </w:r>
      <w:r>
        <w:rPr>
          <w:rFonts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6586-04-5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化学品英文名：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(7-amino-8-methylphenothiazin-3-ylidene)-dimethylazanium,dichlorozinc,dichloride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企业名称：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上海蓝季科技发展有限公司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产品推荐及限制用途：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工业及科研用途。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第2部分 危险性概述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紧急情况概述：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GHS危险性类别：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标签要素：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象形图：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警示词：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危险性说明：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无资料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防范说明：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452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预防措施：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678" w:right="0"/>
      </w:pPr>
      <w:r>
        <w:t>—— 无资料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452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事故响应：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678" w:right="0"/>
      </w:pPr>
      <w:r>
        <w:t>—— 无资料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452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安全储存：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678" w:right="0"/>
      </w:pPr>
      <w:r>
        <w:t>—— 无资料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452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废弃处置：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678" w:right="0"/>
      </w:pPr>
      <w:r>
        <w:t>—— 无资料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356" w:hanging="360"/>
      </w:pP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物理和化学危险：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健康危害：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环境危害：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第3部分 成分/组成信息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61"/>
        <w:gridCol w:w="304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61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组分</w:t>
            </w:r>
          </w:p>
        </w:tc>
        <w:tc>
          <w:tcPr>
            <w:tcW w:w="30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浓度或浓度范围(质量分数，%)</w:t>
            </w:r>
            <w:r>
              <w:rPr>
                <w:rFonts w:hint="eastAsia"/>
                <w:vertAlign w:val="baseline"/>
              </w:rPr>
              <w:tab/>
            </w:r>
          </w:p>
        </w:tc>
        <w:tc>
          <w:tcPr>
            <w:tcW w:w="1521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CAS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(7-amino-8-methylphenothiazin-3-ylidene)-dimethylazanium,dichlorozinc,dichloride</w:t>
            </w:r>
          </w:p>
        </w:tc>
        <w:tc>
          <w:tcPr>
            <w:tcW w:w="3040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100%</w:t>
            </w:r>
          </w:p>
        </w:tc>
        <w:tc>
          <w:tcPr>
            <w:tcW w:w="1521" w:type="dxa"/>
          </w:tcPr>
          <w:p>
            <w:pPr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6586-04-5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第4部分 急救措施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急 救：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吸 入：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如果吸入，请将患者移到新鲜空气处。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皮肤接触：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脱去污染的衣着，用肥皂水和清水彻底冲洗皮肤。如有不适感，就医。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眼晴接触：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分开眼睑，用流动清水或生理盐水冲洗。立即就医。</w:t>
      </w:r>
    </w:p>
    <w:p>
      <w:pPr>
        <w:keepNext w:val="0"/>
        <w:keepLines w:val="0"/>
        <w:widowControl/>
        <w:suppressLineNumbers w:val="0"/>
        <w:ind w:left="225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食 入：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漱口，禁止催吐。立即就医。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对保护施救者的忠告：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将患者转移到安全的场所。咨询医生。出示此化学品安全技术说明书给到现场的医生看。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对医生的特别提示：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第5部分 消防措施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灭火剂：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用水雾、干粉、泡沫或二氧化碳灭火剂灭火。避免使用直流水灭火，直流水可能导致可燃性液体的飞溅，使火势扩散。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特别危险性：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灭火注意事项及防护措施：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消防人员须佩戴携气式呼吸器，穿全身消防服，在上风向灭火。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尽可能将容器从火场移至空旷处。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处在火场中的容器若已变色或从安全泄压装置中发出声音，必须马上撤离。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隔离事故现场，禁止无关人员进入。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收容和处理消防水，防止污染环境。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第6部分 泄露应急处理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作业人员防护措施、防护装备和应急处置程序：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建议应急处理人员戴携气式呼吸器，穿防静电服，戴橡胶耐油手套。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禁止接触或跨越泄漏物。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作业时使用的所有设备应接地。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尽可能切断泄漏源。消除所有点火源。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根据液体流动、蒸汽或粉尘扩散的影响区域划定警戒区，无关人员从侧风、上风向撤离至安全区。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环境保护措施：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收容泄漏物，避免污染环境。防止泄漏物进入下水道、地表水和地下水。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泄漏化学品的收容、清除方法及所使用的处置材料：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小量泄漏：尽可能将泄漏液体收集在可密闭的容器中。用沙土、活性炭或其它惰性材料吸收，并转移至安全场所。禁止冲入下水道。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大量泄漏：构筑围堤或挖坑收容。封闭排水管道。用泡沫覆盖，抑制蒸发。用防爆泵转移至槽车或专用收集器内，回收或运至废物处理场所处置。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第7部分 操作处置与储存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操作注意事项：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操作人员应经过专门培训，严格遵守操作规程。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操作处置应在具备局部通风或全面通风换气设施的场所进行。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避免眼和皮肤的接触，避免吸入蒸汽。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个体防护措施参见第8部分。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远离火种、热源，工作场所严禁吸烟。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使用防爆型的通风系统和设备。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如需罐装，应控制流速，且有接地装置，防止静电积聚。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避免与氧化剂等禁配物接触（禁配物参见第10部分）。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搬运时要轻装轻卸，防止包装及容器损坏。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倒空的容器可能残留有害物。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使用后洗手，禁止在工作场所进饮食。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配备相应品种和数量的消防器材及泄漏应急处理设备。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储存注意事项：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储存于阴凉、通风的库房。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库温不宜超过37°C。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应与氧化剂、食用化学品分开存放，切忌混储（禁配物参见第10部分）。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保持容器密封。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远离火种、热源。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库房必须安装避雷设备。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排风系统应设有导除静电的接地装置。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采用防爆型照明、通风设置。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禁止使用易产生火花的设备和工具。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储区应备有泄漏应急处理设备和合适的收容材料。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第8部分 接触控制/个体防护</w:t>
      </w:r>
    </w:p>
    <w:tbl>
      <w:tblPr>
        <w:tblStyle w:val="8"/>
        <w:tblpPr w:leftFromText="180" w:rightFromText="180" w:vertAnchor="text" w:horzAnchor="page" w:tblpX="282" w:tblpY="310"/>
        <w:tblOverlap w:val="never"/>
        <w:tblW w:w="11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7"/>
        <w:gridCol w:w="2223"/>
        <w:gridCol w:w="2072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组分名称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CAS</w:t>
            </w:r>
          </w:p>
        </w:tc>
        <w:tc>
          <w:tcPr>
            <w:tcW w:w="2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标准来源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(7-amino-8-methylphenothiazin-3-ylidene)-dimethylazanium,dichlorozinc,dichloride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6586-04-5</w:t>
            </w:r>
          </w:p>
        </w:tc>
        <w:tc>
          <w:tcPr>
            <w:tcW w:w="2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GBZ 2.1——2007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MAC：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PC-TWA：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PC-STEL：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职业接触限值：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生物限制：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监测方法：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GBZ/T 160.1 ~ GBZ/T 160.81-2004 工作场所空气有毒物质测定（系列标准）, EN 14042 工作场所空气 用于评估暴露于化学或生物试剂的程序指南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工程控制：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作业场所建议与其它作业场所分开。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密闭操作，防止泄漏。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加强通风。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设置自动报警装置和事故通风设施。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设置应急撤离通道和必要的泻险区。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设置红色区域警示线、警示标识和中文警示说明，并设置通讯报警系统。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提供安全淋浴和洗眼设备。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个体防护装备：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呼吸系统防护：空气中浓度超标时，佩戴过滤式防毒面具（半面罩）。紧急事态抢救或撤离时，应该佩戴携气式呼吸器。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手防护：戴橡胶耐油手套。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眼睛防护：戴化学安全防护眼睛。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皮肤和身体防护：穿防毒物渗透工作服。</w:t>
      </w:r>
    </w:p>
    <w:tbl>
      <w:tblPr>
        <w:tblStyle w:val="8"/>
        <w:tblpPr w:leftFromText="180" w:rightFromText="180" w:vertAnchor="text" w:horzAnchor="page" w:tblpX="146" w:tblpY="-3084"/>
        <w:tblOverlap w:val="never"/>
        <w:tblW w:w="11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0"/>
        <w:gridCol w:w="4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>外观与性状：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气味：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pH值：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熔点/凝固点（°C）：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沸点、初沸点和沸程（°C）：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自燃温度（°C）：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闪点（°C）：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分解温度（°C）：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爆炸极限［％（体积分数）］：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蒸发速率［乙酸（正）丁酯以1计］：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饱合蒸气压（kPa）：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易燃性（固体、气体）：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相对密度(水以1计)：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蒸气密度（空气以1计）：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气味阈值（mg/m³）：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n-辛醇/水分配系数（lg P）：</w:t>
            </w:r>
            <w:r>
              <w:t> 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溶解性：</w:t>
            </w:r>
            <w:r>
              <w:t> 无资料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b/>
                <w:bCs/>
                <w:sz w:val="21"/>
                <w:szCs w:val="21"/>
              </w:rPr>
              <w:t>黏度：</w:t>
            </w:r>
            <w:r>
              <w:t> 无资料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第9部分 理化特性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第10部分 稳定性和反应性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稳定性：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正常环境温度下储存和使用，本品稳定。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危险反应：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避免接触的条件：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静电放电、热、潮湿等。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禁配物：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危险的分解产物：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第11部分 毒理学信息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急性毒性：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经口: 无资料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吸入: 无资料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经皮: 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皮肤刺激或腐蚀: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眼睛刺激或腐蚀：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呼吸或皮肤过敏：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生殖细胞突变性：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致癌性：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生殖毒性：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特异性靶器官系统毒性——一次接触：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特异性靶器官系统毒性——反复接触：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吸入危害：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第12部分 生态学信息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生态毒性：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鱼类急性毒性试验: 无资料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溞类急性活动抑制试验: 无资料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藻类生长抑制试验: 无资料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对微生物的毒性: 无资料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持久性和降解性：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生物富集或生物积累性：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土壤中的迁移性：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无资料。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第13部分 废弃处置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废弃化学品：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尽可能回收利用。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如果不能回收利用，采用焚烧方法进行处置。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不得采用排放到下水道的方式废 弃处置本品。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污染包装物：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将容器返还生产商或按照国家和地方法规处置。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废弃注意事项：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废弃处置前应参阅国家和地方有关法规。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处置人员的安全防范措施参见第8部分。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第14部分 运输信息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联合国编号危险货物编号(UN号)：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联合国运输名称：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联合国危险性分类：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包装类别：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无资料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包装方法：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按照生产商推荐的方法进行包装，例如：开口钢桶。安瓿瓶外普通木箱。螺纹口玻璃瓶、铁盖压口玻璃瓶、塑料瓶或金属桶（罐）外普通木箱等。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海洋污染物(是/否)：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运输注意事项：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运输车辆应配备相应品种和数量的消防器材及泄漏应急处理设备。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严禁与氧化剂、食用化学品等混装混运。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装运该物品的车辆排气管必须配备阻火装置。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使用槽(罐)车运输时应有接地链，槽内可设孔隔板以减少震荡产生静电。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禁止使用易产生火花的机械设备和工具装卸。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夏季最好早晚运输。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运输途中应防暴晒、雨淋，防高温。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中途停留时应远离火种、热源、高温区。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公路运输时要按规定路线行驶，勿在居民区和人口稠密区停留。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铁路运输时要禁止溜放。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严禁用木船、水泥船散装运输。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运输工具上应根据相关运输要求张贴危险标志、公告。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第15部分 法规信息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t>下列法律、法规、规章和标准，对该化学品的管理作相应的规定: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组分 (7-amino-8-methylphenothiazin-3-ylidene)-dimethylazanium,dichlorozinc,dichloride CAS: 6586-04-5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中华人民共和国职业病防止法：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职业病危害因素分类目录(2015): 未列入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危险化学品安全管理条例：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危险品化学品目录（2015）: 未列入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易制爆危险化学品名录（2017）: 未列入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重点监管的危险化学品名录：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首批和第二批重点监管的危险化学品名录: 未列入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危险化学品环境管理登记办法（试行）：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重点环境管理危险化学品目录: 未列入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麻醉药品和精神药品管理条例：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麻醉药品品种目录: 未列入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精神药品品种目录: 未列入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226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新化学物质环境管理办法：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52" w:right="0"/>
      </w:pPr>
      <w:r>
        <w:t>中国现有化学物质名录(2013): 未列入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第16部分 其他信息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编写和修订信息：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本版为第1.0版，按照GB/T 16483-2008、GB/T 17519-2013、GB 30000系列分类标准编制。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参考文献：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【1】国际化学品安全规划署：国际化学品安全卡（ICSC），网址：http://www.ilo.org/dyn/icsc/showcard.home。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【2】国际癌症研究机构，网址：http://www.iarc.fr/。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【3】OECD 全球化学品信息平台，网址：http://www.echemportal.org/echemportal/index?pageID=0&amp;request_locale=en。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【4】美国 CAMEO 化学物质数据库，网址：http://cameochemicals.noaa.gov/search/simple。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【5】美国医学图书馆:化学品标识数据库，网址：http://chem.sis.nlm.nih.gov/chemidplus/chemidlite.jsp。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【6】美国环境保护署：综合危险性信息系统，网址：http://cfpub.epa.gov/iris/。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【7】美国交通部：应急响应指南，网址：http://www.phmsa.dot.gov/hazmat/library/erg。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【8】德国GESTIS-有害物质数据库，网址：http://gestis-en.itrust.de/。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缩略语和首字母缩写：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MAC:最高容许浓度(maximum allowable concentration)， 指工作地点、在一个工作日内、任何时间有毒化学物质均不应超过的浓度。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PC-TWA:时间加权平均容许浓度(permissible concentration-time weighted average)， 指以时间为权数规定的8 h工作日、40 h工作周的平均容许接触浓度。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226" w:right="0"/>
      </w:pPr>
      <w:r>
        <w:t>PC-STEL:短时间接触容许浓度(permissible concentration-short term exposure limit)， 指在遵守PC-TWA前提下允许短时间(15 min)接触的浓度。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B88E7"/>
    <w:multiLevelType w:val="multilevel"/>
    <w:tmpl w:val="6DFB88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TlkNzU5ZjAxOTlhMTU4Y2UyZWIyNjhlMjA2NjMifQ=="/>
  </w:docVars>
  <w:rsids>
    <w:rsidRoot w:val="4E667F95"/>
    <w:rsid w:val="4E6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2023-11-24T02:47:00Z</dcterms:created>
  <dc:creator>上海蓝季小侯</dc:creator>
  <cp:lastModifiedBy>上海蓝季小侯</cp:lastModifiedBy>
  <dcterms:modified xsi:type="dcterms:W3CDTF">2023-11-24T02:53:32Z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CFCF048BA3374A45B3DA8C5BF53CF139_11</vt:lpwstr>
  </property>
</Properties>
</file>